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C25A83" w:rsidRPr="003C7004">
        <w:rPr>
          <w:sz w:val="28"/>
          <w:szCs w:val="28"/>
        </w:rPr>
        <w:t>Bestimme x</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C25A83" w:rsidTr="00C25A83">
        <w:tc>
          <w:tcPr>
            <w:tcW w:w="2466" w:type="dxa"/>
            <w:vAlign w:val="center"/>
          </w:tcPr>
          <w:p w:rsidR="00C25A83" w:rsidRPr="00DE6A25" w:rsidRDefault="00C25A83" w:rsidP="008A099B">
            <w:pPr>
              <w:pStyle w:val="IQB-Merkmal"/>
            </w:pPr>
            <w:r w:rsidRPr="00DE6A25">
              <w:t>Leitidee</w:t>
            </w:r>
          </w:p>
        </w:tc>
        <w:tc>
          <w:tcPr>
            <w:tcW w:w="6604" w:type="dxa"/>
          </w:tcPr>
          <w:p w:rsidR="00C25A83" w:rsidRPr="00DE6A25" w:rsidRDefault="00C25A83" w:rsidP="008A099B">
            <w:pPr>
              <w:pStyle w:val="IQB-Merkmalswert"/>
              <w:rPr>
                <w:sz w:val="22"/>
                <w:szCs w:val="22"/>
              </w:rPr>
            </w:pPr>
            <w:r w:rsidRPr="00DE6A25">
              <w:rPr>
                <w:sz w:val="22"/>
                <w:szCs w:val="22"/>
              </w:rPr>
              <w:t>Funktionaler Zusammenhang (L4)</w:t>
            </w:r>
          </w:p>
        </w:tc>
      </w:tr>
      <w:tr w:rsidR="00C25A83" w:rsidTr="00C25A83">
        <w:tc>
          <w:tcPr>
            <w:tcW w:w="2466" w:type="dxa"/>
            <w:vAlign w:val="center"/>
          </w:tcPr>
          <w:p w:rsidR="00C25A83" w:rsidRPr="00DE6A25" w:rsidRDefault="00C25A83" w:rsidP="008A099B">
            <w:pPr>
              <w:pStyle w:val="IQB-Merkmal"/>
            </w:pPr>
            <w:r w:rsidRPr="00DE6A25">
              <w:t>Allgemeine Kompetenzen</w:t>
            </w:r>
          </w:p>
        </w:tc>
        <w:tc>
          <w:tcPr>
            <w:tcW w:w="6604" w:type="dxa"/>
          </w:tcPr>
          <w:p w:rsidR="00C25A83" w:rsidRPr="00DE6A25" w:rsidRDefault="00C25A83" w:rsidP="008A099B">
            <w:pPr>
              <w:pStyle w:val="IQB-Merkmalswert"/>
              <w:rPr>
                <w:sz w:val="22"/>
                <w:szCs w:val="22"/>
              </w:rPr>
            </w:pPr>
            <w:r w:rsidRPr="00DE6A25">
              <w:rPr>
                <w:sz w:val="22"/>
                <w:szCs w:val="22"/>
              </w:rPr>
              <w:t>Mit symbolischen, formalen und technischen Elementen der Mathematik umg</w:t>
            </w:r>
            <w:r w:rsidRPr="00DE6A25">
              <w:rPr>
                <w:sz w:val="22"/>
                <w:szCs w:val="22"/>
              </w:rPr>
              <w:t>e</w:t>
            </w:r>
            <w:r w:rsidRPr="00DE6A25">
              <w:rPr>
                <w:sz w:val="22"/>
                <w:szCs w:val="22"/>
              </w:rPr>
              <w:t>hen (K5)</w:t>
            </w:r>
          </w:p>
        </w:tc>
      </w:tr>
      <w:tr w:rsidR="00C25A83" w:rsidTr="00C25A83">
        <w:tc>
          <w:tcPr>
            <w:tcW w:w="2466" w:type="dxa"/>
            <w:vAlign w:val="center"/>
          </w:tcPr>
          <w:p w:rsidR="00C25A83" w:rsidRPr="00DE6A25" w:rsidRDefault="00C25A83" w:rsidP="008A099B">
            <w:pPr>
              <w:pStyle w:val="IQB-Merkmal"/>
            </w:pPr>
            <w:r w:rsidRPr="00DE6A25">
              <w:t>Anforderungsbereich</w:t>
            </w:r>
          </w:p>
        </w:tc>
        <w:tc>
          <w:tcPr>
            <w:tcW w:w="6604" w:type="dxa"/>
          </w:tcPr>
          <w:p w:rsidR="00C25A83" w:rsidRPr="00DE6A25" w:rsidRDefault="00C25A83" w:rsidP="008A099B">
            <w:pPr>
              <w:pStyle w:val="IQB-Merkmalswert"/>
              <w:rPr>
                <w:sz w:val="22"/>
                <w:szCs w:val="22"/>
              </w:rPr>
            </w:pPr>
            <w:r w:rsidRPr="00DE6A25">
              <w:rPr>
                <w:sz w:val="22"/>
                <w:szCs w:val="22"/>
              </w:rPr>
              <w:t>I</w:t>
            </w:r>
          </w:p>
        </w:tc>
      </w:tr>
      <w:tr w:rsidR="00C25A83" w:rsidTr="00C25A83">
        <w:tc>
          <w:tcPr>
            <w:tcW w:w="2466" w:type="dxa"/>
            <w:vAlign w:val="center"/>
          </w:tcPr>
          <w:p w:rsidR="00C25A83" w:rsidRPr="00DE6A25" w:rsidRDefault="00C25A83" w:rsidP="008A099B">
            <w:pPr>
              <w:pStyle w:val="IQB-Merkmal"/>
            </w:pPr>
            <w:r w:rsidRPr="00DE6A25">
              <w:t>Kompetenzstufe</w:t>
            </w:r>
          </w:p>
        </w:tc>
        <w:tc>
          <w:tcPr>
            <w:tcW w:w="6604" w:type="dxa"/>
          </w:tcPr>
          <w:p w:rsidR="00C25A83" w:rsidRPr="00DE6A25" w:rsidRDefault="00C25A83" w:rsidP="008A099B">
            <w:pPr>
              <w:pStyle w:val="IQB-Merkmalswert"/>
              <w:rPr>
                <w:sz w:val="22"/>
                <w:szCs w:val="22"/>
              </w:rPr>
            </w:pPr>
            <w:r w:rsidRPr="00DE6A25">
              <w:rPr>
                <w:sz w:val="22"/>
                <w:szCs w:val="22"/>
              </w:rPr>
              <w:t>1a</w:t>
            </w:r>
          </w:p>
        </w:tc>
      </w:tr>
    </w:tbl>
    <w:p w:rsidR="00694A63" w:rsidRPr="00694A63" w:rsidRDefault="00694A63" w:rsidP="00694A63">
      <w:pPr>
        <w:pStyle w:val="IQB-Teilaufgabentitel"/>
        <w:rPr>
          <w:b/>
        </w:rPr>
      </w:pPr>
      <w:r w:rsidRPr="00694A63">
        <w:rPr>
          <w:b/>
        </w:rPr>
        <w:t>Aufgabenbezogener Kommentar</w:t>
      </w:r>
    </w:p>
    <w:p w:rsidR="00C25A83" w:rsidRPr="00C25A83" w:rsidRDefault="00C25A83" w:rsidP="00C25A83">
      <w:pPr>
        <w:jc w:val="both"/>
        <w:rPr>
          <w:rFonts w:ascii="Arial" w:hAnsi="Arial"/>
          <w:sz w:val="22"/>
          <w:szCs w:val="22"/>
        </w:rPr>
      </w:pPr>
      <w:r w:rsidRPr="00C25A83">
        <w:rPr>
          <w:rFonts w:ascii="Arial" w:hAnsi="Arial"/>
          <w:sz w:val="22"/>
          <w:szCs w:val="22"/>
        </w:rPr>
        <w:t xml:space="preserve">„Bestimme x“ fordert dazu auf eine einfache lineare Gleichung zu lösen. Daher ist die Aufgabe der Leitidee </w:t>
      </w:r>
      <w:r w:rsidRPr="00C25A83">
        <w:rPr>
          <w:rFonts w:ascii="Arial" w:hAnsi="Arial"/>
          <w:i/>
          <w:sz w:val="22"/>
          <w:szCs w:val="22"/>
        </w:rPr>
        <w:t>Funktionaler Zusammenhang</w:t>
      </w:r>
      <w:r w:rsidRPr="00C25A83">
        <w:rPr>
          <w:rFonts w:ascii="Arial" w:hAnsi="Arial"/>
          <w:sz w:val="22"/>
          <w:szCs w:val="22"/>
        </w:rPr>
        <w:t> (L4) zugeordnet.</w:t>
      </w:r>
    </w:p>
    <w:p w:rsidR="00C25A83" w:rsidRPr="00C25A83" w:rsidRDefault="00C25A83" w:rsidP="00C25A83">
      <w:pPr>
        <w:jc w:val="both"/>
        <w:rPr>
          <w:rFonts w:ascii="Arial" w:hAnsi="Arial"/>
          <w:sz w:val="22"/>
          <w:szCs w:val="22"/>
        </w:rPr>
      </w:pPr>
    </w:p>
    <w:p w:rsidR="00C25A83" w:rsidRPr="00C25A83" w:rsidRDefault="00C25A83" w:rsidP="00C25A83">
      <w:pPr>
        <w:jc w:val="both"/>
        <w:rPr>
          <w:rFonts w:ascii="Arial" w:hAnsi="Arial"/>
          <w:sz w:val="22"/>
          <w:szCs w:val="22"/>
        </w:rPr>
      </w:pPr>
      <w:r w:rsidRPr="00C25A83">
        <w:rPr>
          <w:rFonts w:ascii="Arial" w:hAnsi="Arial"/>
          <w:sz w:val="22"/>
          <w:szCs w:val="22"/>
        </w:rPr>
        <w:t xml:space="preserve">Schülerinnen und Schüler können die angegebene Gleichung </w:t>
      </w:r>
      <w:proofErr w:type="spellStart"/>
      <w:r w:rsidRPr="00C25A83">
        <w:rPr>
          <w:rFonts w:ascii="Arial" w:hAnsi="Arial"/>
          <w:sz w:val="22"/>
          <w:szCs w:val="22"/>
        </w:rPr>
        <w:t>kalkülhaft</w:t>
      </w:r>
      <w:proofErr w:type="spellEnd"/>
      <w:r w:rsidRPr="00C25A83">
        <w:rPr>
          <w:rFonts w:ascii="Arial" w:hAnsi="Arial"/>
          <w:sz w:val="22"/>
          <w:szCs w:val="22"/>
        </w:rPr>
        <w:t xml:space="preserve"> lösen. Daher wird hier die Kompetenz </w:t>
      </w:r>
      <w:r w:rsidRPr="00C25A83">
        <w:rPr>
          <w:rFonts w:ascii="Arial" w:hAnsi="Arial"/>
          <w:i/>
          <w:sz w:val="22"/>
          <w:szCs w:val="22"/>
        </w:rPr>
        <w:t>Mit symbolischen, formalen und technischen Elementen der Mathematik umgehen</w:t>
      </w:r>
      <w:r w:rsidRPr="00C25A83">
        <w:rPr>
          <w:rFonts w:ascii="Arial" w:hAnsi="Arial"/>
          <w:sz w:val="22"/>
          <w:szCs w:val="22"/>
        </w:rPr>
        <w:t> (K5) benötigt.</w:t>
      </w:r>
    </w:p>
    <w:p w:rsidR="00C25A83" w:rsidRPr="00C25A83" w:rsidRDefault="00C25A83" w:rsidP="00C25A83">
      <w:pPr>
        <w:jc w:val="both"/>
        <w:rPr>
          <w:rFonts w:ascii="Arial" w:hAnsi="Arial"/>
          <w:sz w:val="22"/>
          <w:szCs w:val="22"/>
        </w:rPr>
      </w:pPr>
    </w:p>
    <w:p w:rsidR="00C25A83" w:rsidRPr="00C25A83" w:rsidRDefault="00C25A83" w:rsidP="00C25A83">
      <w:pPr>
        <w:jc w:val="both"/>
        <w:rPr>
          <w:rFonts w:ascii="Arial" w:hAnsi="Arial"/>
          <w:sz w:val="22"/>
          <w:szCs w:val="22"/>
        </w:rPr>
      </w:pPr>
      <w:r w:rsidRPr="00C25A83">
        <w:rPr>
          <w:rFonts w:ascii="Arial" w:hAnsi="Arial"/>
          <w:sz w:val="22"/>
          <w:szCs w:val="22"/>
        </w:rPr>
        <w:t>Es ist ausreichend zur Lösung der Gleichung auf ein Routineverfahren zurückzugreifen (z. B. Äquivalenzumformung). Es wird lediglich ein, zudem vertrautes, Symbol verwendet. Daher ist die Aufgabe dem Anforderungsbereich I zuzuordnen.</w:t>
      </w:r>
    </w:p>
    <w:p w:rsidR="00694A63" w:rsidRPr="00694A63" w:rsidRDefault="00694A63" w:rsidP="00694A63">
      <w:pPr>
        <w:pStyle w:val="IQB-Teilaufgabentitel"/>
        <w:rPr>
          <w:b/>
        </w:rPr>
      </w:pPr>
      <w:r w:rsidRPr="00694A63">
        <w:rPr>
          <w:b/>
        </w:rPr>
        <w:t>Anregungen für den Unterricht</w:t>
      </w:r>
    </w:p>
    <w:p w:rsidR="00C25A83" w:rsidRPr="00C25A83" w:rsidRDefault="00C25A83" w:rsidP="00C25A83">
      <w:pPr>
        <w:jc w:val="both"/>
        <w:rPr>
          <w:rFonts w:ascii="Arial" w:hAnsi="Arial"/>
          <w:sz w:val="22"/>
          <w:szCs w:val="22"/>
        </w:rPr>
      </w:pPr>
      <w:r w:rsidRPr="00C25A83">
        <w:rPr>
          <w:rFonts w:ascii="Arial" w:hAnsi="Arial"/>
          <w:sz w:val="22"/>
          <w:szCs w:val="22"/>
        </w:rPr>
        <w:t>Das Lösen linearer und später quadratischer Gleichungen gehört zu den Routineverfahren, die von Schülerinnen und Schülern händisch, ohne Zuhilfenahme eines Taschenrechners, beherrscht werden sollen. Hierzu bedarf es über die Einführung von Lösungsverfahren hinaus wiederholende Übungen, die über die Schulstufen hinweg immer wieder Bestandteil des Unterrichts sind. Dabei bestehen unterschiedliche Möglichkeiten, wie und welche Arten des Übens in den Unterricht eingebunden werden können. Im Folgenden werden einige Varianten anhand der Aufgabe „Bestimme x“ vorgestellt und kurz erläutert.</w:t>
      </w:r>
    </w:p>
    <w:p w:rsidR="00C25A83" w:rsidRPr="00C25A83" w:rsidRDefault="00C25A83" w:rsidP="00C25A83">
      <w:pPr>
        <w:jc w:val="both"/>
        <w:rPr>
          <w:rFonts w:ascii="Arial" w:hAnsi="Arial"/>
          <w:sz w:val="22"/>
          <w:szCs w:val="22"/>
        </w:rPr>
      </w:pPr>
    </w:p>
    <w:p w:rsidR="00C25A83" w:rsidRPr="00C25A83" w:rsidRDefault="00C25A83" w:rsidP="00C25A83">
      <w:pPr>
        <w:jc w:val="both"/>
        <w:rPr>
          <w:rFonts w:ascii="Arial" w:hAnsi="Arial"/>
          <w:sz w:val="22"/>
          <w:szCs w:val="22"/>
        </w:rPr>
      </w:pPr>
      <w:r w:rsidRPr="00C25A83">
        <w:rPr>
          <w:rFonts w:ascii="Arial" w:hAnsi="Arial"/>
          <w:sz w:val="22"/>
          <w:szCs w:val="22"/>
        </w:rPr>
        <w:t xml:space="preserve">Das </w:t>
      </w:r>
      <w:r w:rsidRPr="00C25A83">
        <w:rPr>
          <w:rFonts w:ascii="Arial" w:hAnsi="Arial"/>
          <w:b/>
          <w:sz w:val="22"/>
          <w:szCs w:val="22"/>
        </w:rPr>
        <w:t>explizite Üben</w:t>
      </w:r>
      <w:r w:rsidRPr="00C25A83">
        <w:rPr>
          <w:rFonts w:ascii="Arial" w:hAnsi="Arial"/>
          <w:sz w:val="22"/>
          <w:szCs w:val="22"/>
        </w:rPr>
        <w:t xml:space="preserve"> ist eine einfache und naheliegende Methode, um mathematische Inhalte und Verfahren zu üben. Auf das Beispiel dieser Aufgabe bezogen würde man Schülerinnen und Schüler einfach ähnliche lineare Gleichungen lösen lassen. D.h. man wiederholt Inhalte durch Bearbeitung gleichartiger Aufgaben. Das explizite Üben eignet sich daher eher dazu, Basiswissen einzuüben oder aufzufrischen. Wie man leicht sieht, ist diese Art des Übens nur bedingt geeignet für einen kompetenzorientierten Mathematikunterricht, dem es neben der Vermittlung inhaltlicher auch um die Vermittlung allgemeiner mathematischer Kompetenzen geht. Dennoch ist es wichtig, auch die Bedeutung automatisierender und routinisierender Übungen für den Aufbau von Schülerkompetenzen im unteren Anforderungsbereich zu betonen. Eventuell können spielerische Elemente hinzukommen, um womöglich die Motivation von Schülerinnen und Schülern zu fördern (z. B. durch das Lösen eines Arbeitsblatts als Wettbewerb mit einer engen Zeitvorgabe).</w:t>
      </w:r>
    </w:p>
    <w:p w:rsidR="00C25A83" w:rsidRPr="00C25A83" w:rsidRDefault="00C25A83" w:rsidP="00C25A83">
      <w:pPr>
        <w:jc w:val="both"/>
        <w:rPr>
          <w:rFonts w:ascii="Arial" w:hAnsi="Arial"/>
          <w:sz w:val="22"/>
          <w:szCs w:val="22"/>
        </w:rPr>
      </w:pPr>
    </w:p>
    <w:p w:rsidR="00C25A83" w:rsidRPr="00C25A83" w:rsidRDefault="00C25A83" w:rsidP="00C25A83">
      <w:pPr>
        <w:jc w:val="both"/>
        <w:rPr>
          <w:rFonts w:ascii="Arial" w:hAnsi="Arial"/>
          <w:sz w:val="22"/>
          <w:szCs w:val="22"/>
        </w:rPr>
      </w:pPr>
      <w:r w:rsidRPr="00C25A83">
        <w:rPr>
          <w:rFonts w:ascii="Arial" w:hAnsi="Arial"/>
          <w:sz w:val="22"/>
          <w:szCs w:val="22"/>
        </w:rPr>
        <w:t xml:space="preserve">Beim </w:t>
      </w:r>
      <w:r w:rsidRPr="00C25A83">
        <w:rPr>
          <w:rFonts w:ascii="Arial" w:hAnsi="Arial"/>
          <w:b/>
          <w:sz w:val="22"/>
          <w:szCs w:val="22"/>
        </w:rPr>
        <w:t>impliziten Üben</w:t>
      </w:r>
      <w:r w:rsidRPr="00C25A83">
        <w:rPr>
          <w:rFonts w:ascii="Arial" w:hAnsi="Arial"/>
          <w:sz w:val="22"/>
          <w:szCs w:val="22"/>
        </w:rPr>
        <w:t xml:space="preserve"> wird das Lösen einer linearen Gleichung in Aufgaben eingebettet, die auch andere mathematische Fähigkeiten und/oder allgemeine Kompetenzen verlangen. Naheliegend wäre es hier, das Lösen linearer Gleichungen zu üben, indem man Schülerinnen und Schüler eine Anwendungsaufgabe zu linearen Funktionen lösen lässt. So werden neben dem Lösen linearer Gleichungen auch andere Inhalte und Kompetenzen adressiert, die im Zusammenhang mit (linearen) Funktionen eine Rolle spielen. Das implizite Üben eignet sich so z. B. für eine Zusammenfassung und Wiederholung mathematischer Fähigkeiten am Ende einer Unterrichtsreihe.</w:t>
      </w:r>
    </w:p>
    <w:p w:rsidR="00C25A83" w:rsidRPr="00C25A83" w:rsidRDefault="00C25A83" w:rsidP="00C25A83">
      <w:pPr>
        <w:jc w:val="both"/>
        <w:rPr>
          <w:rFonts w:ascii="Arial" w:hAnsi="Arial"/>
          <w:sz w:val="22"/>
          <w:szCs w:val="22"/>
        </w:rPr>
      </w:pPr>
    </w:p>
    <w:p w:rsidR="00C25A83" w:rsidRPr="00C25A83" w:rsidRDefault="00C25A83" w:rsidP="00C25A83">
      <w:pPr>
        <w:jc w:val="both"/>
        <w:rPr>
          <w:rFonts w:ascii="Arial" w:hAnsi="Arial"/>
          <w:sz w:val="22"/>
          <w:szCs w:val="22"/>
        </w:rPr>
      </w:pPr>
      <w:r w:rsidRPr="00C25A83">
        <w:rPr>
          <w:rFonts w:ascii="Arial" w:hAnsi="Arial"/>
          <w:sz w:val="22"/>
          <w:szCs w:val="22"/>
        </w:rPr>
        <w:t xml:space="preserve">Das </w:t>
      </w:r>
      <w:r w:rsidRPr="00C25A83">
        <w:rPr>
          <w:rFonts w:ascii="Arial" w:hAnsi="Arial"/>
          <w:b/>
          <w:sz w:val="22"/>
          <w:szCs w:val="22"/>
        </w:rPr>
        <w:t>intelligente Üben</w:t>
      </w:r>
      <w:r w:rsidRPr="00C25A83">
        <w:rPr>
          <w:rFonts w:ascii="Arial" w:hAnsi="Arial"/>
          <w:sz w:val="22"/>
          <w:szCs w:val="22"/>
        </w:rPr>
        <w:t xml:space="preserve"> zielt darauf ab, aus einzelnen Übungsaufgaben Gesetzmäßigkeiten induktiv zu erschließen. Dazu wird eine strategisch angeordnete Reihe expliziter Übungen den Schülerinnen und Schülern präsentiert. Als Beispiel soll hier die Bestimmung von Nullstellen bei Graphen linearer Funktionen dienen. </w:t>
      </w:r>
    </w:p>
    <w:p w:rsidR="00C25A83" w:rsidRPr="00C25A83" w:rsidRDefault="00C25A83" w:rsidP="00C25A83">
      <w:pPr>
        <w:jc w:val="both"/>
        <w:rPr>
          <w:rFonts w:ascii="Arial" w:hAnsi="Arial"/>
          <w:sz w:val="22"/>
          <w:szCs w:val="22"/>
        </w:rPr>
      </w:pPr>
      <w:r w:rsidRPr="00C25A83">
        <w:rPr>
          <w:rFonts w:ascii="Arial" w:hAnsi="Arial"/>
          <w:sz w:val="22"/>
          <w:szCs w:val="22"/>
        </w:rPr>
        <w:lastRenderedPageBreak/>
        <w:t>Auf einem Arbeitsblatt werden die folgenden Gleichungen präsentiert:</w:t>
      </w:r>
    </w:p>
    <w:p w:rsidR="00C25A83" w:rsidRPr="00C25A83" w:rsidRDefault="00C25A83" w:rsidP="00C25A83">
      <w:pPr>
        <w:jc w:val="both"/>
        <w:rPr>
          <w:rFonts w:ascii="Arial" w:hAnsi="Arial"/>
          <w:sz w:val="22"/>
          <w:szCs w:val="22"/>
        </w:rPr>
      </w:pPr>
      <w:r w:rsidRPr="00C25A83">
        <w:rPr>
          <w:rFonts w:ascii="Arial" w:hAnsi="Arial"/>
          <w:sz w:val="22"/>
          <w:szCs w:val="22"/>
        </w:rPr>
        <w:t>(</w:t>
      </w:r>
      <w:r w:rsidRPr="00C25A83">
        <w:rPr>
          <w:rFonts w:ascii="Arial" w:hAnsi="Arial"/>
          <w:position w:val="-8"/>
          <w:sz w:val="22"/>
          <w:szCs w:val="22"/>
        </w:rPr>
        <w:object w:dxaOrig="320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160.4pt;height:14.25pt" o:ole="">
            <v:imagedata r:id="rId8" o:title=""/>
          </v:shape>
          <o:OLEObject Type="Embed" ProgID="Equation.DSMT4" ShapeID="_x0000_i1043" DrawAspect="Content" ObjectID="_1814853665" r:id="rId9"/>
        </w:object>
      </w:r>
      <w:r w:rsidRPr="00C25A83">
        <w:rPr>
          <w:rFonts w:ascii="Arial" w:hAnsi="Arial"/>
          <w:sz w:val="22"/>
          <w:szCs w:val="22"/>
        </w:rPr>
        <w:t>…;</w:t>
      </w:r>
      <w:r w:rsidRPr="00C25A83">
        <w:rPr>
          <w:rFonts w:ascii="Arial" w:hAnsi="Arial"/>
          <w:position w:val="-8"/>
          <w:sz w:val="22"/>
          <w:szCs w:val="22"/>
        </w:rPr>
        <w:object w:dxaOrig="4000" w:dyaOrig="279">
          <v:shape id="_x0000_i1044" type="#_x0000_t75" style="width:200.3pt;height:14.25pt" o:ole="">
            <v:imagedata r:id="rId10" o:title=""/>
          </v:shape>
          <o:OLEObject Type="Embed" ProgID="Equation.DSMT4" ShapeID="_x0000_i1044" DrawAspect="Content" ObjectID="_1814853666" r:id="rId11"/>
        </w:object>
      </w:r>
      <w:r w:rsidRPr="00C25A83">
        <w:rPr>
          <w:rFonts w:ascii="Arial" w:hAnsi="Arial"/>
          <w:sz w:val="22"/>
          <w:szCs w:val="22"/>
        </w:rPr>
        <w:t>…;</w:t>
      </w:r>
      <w:r w:rsidRPr="00C25A83">
        <w:rPr>
          <w:rFonts w:ascii="Arial" w:hAnsi="Arial"/>
          <w:position w:val="-6"/>
          <w:sz w:val="22"/>
          <w:szCs w:val="22"/>
        </w:rPr>
        <w:object w:dxaOrig="1080" w:dyaOrig="260">
          <v:shape id="_x0000_i1045" type="#_x0000_t75" style="width:54.2pt;height:12.85pt" o:ole="">
            <v:imagedata r:id="rId12" o:title=""/>
          </v:shape>
          <o:OLEObject Type="Embed" ProgID="Equation.DSMT4" ShapeID="_x0000_i1045" DrawAspect="Content" ObjectID="_1814853667" r:id="rId13"/>
        </w:object>
      </w:r>
      <w:r w:rsidRPr="00C25A83">
        <w:rPr>
          <w:rFonts w:ascii="Arial" w:hAnsi="Arial"/>
          <w:sz w:val="22"/>
          <w:szCs w:val="22"/>
        </w:rPr>
        <w:t>). Dadurch wird es den Schülerinnen und Schülern erleichtert ein allgemeines Muster bei der Bestimmung von Nullstellen linearer Funktionsgraphen zu erkennen und eine Formel für deren Bestimmung herzuleiten. Der Vorteil gegenüber dem reinen expliziten Üben besteht hier darin, dass auch leistungsstärkere Schülerinnen und Schüler einen Mehrwert von einer solchen Übungsphase haben. Das intelligente Üben kann zur Binnendifferenzierung im Unterricht eingesetzt werden: Während die einen Basisfertigkeiten wiederholen und üben wird es den anderen ermöglicht, Zusammenhänge und Muster zu erkennen und zu explizieren.</w:t>
      </w:r>
    </w:p>
    <w:p w:rsidR="00C25A83" w:rsidRPr="00C25A83" w:rsidRDefault="00C25A83" w:rsidP="00C25A83">
      <w:pPr>
        <w:jc w:val="both"/>
        <w:rPr>
          <w:rFonts w:ascii="Arial" w:hAnsi="Arial"/>
          <w:sz w:val="22"/>
          <w:szCs w:val="22"/>
        </w:rPr>
      </w:pPr>
    </w:p>
    <w:p w:rsidR="00C25A83" w:rsidRPr="00C25A83" w:rsidRDefault="00C25A83" w:rsidP="00C25A83">
      <w:pPr>
        <w:jc w:val="both"/>
        <w:rPr>
          <w:rFonts w:ascii="Arial" w:hAnsi="Arial"/>
          <w:sz w:val="22"/>
          <w:szCs w:val="22"/>
        </w:rPr>
      </w:pPr>
      <w:r w:rsidRPr="00C25A83">
        <w:rPr>
          <w:rFonts w:ascii="Arial" w:hAnsi="Arial"/>
          <w:sz w:val="22"/>
          <w:szCs w:val="22"/>
        </w:rPr>
        <w:t>Auf der Internetseite der „Qualitäts- und Unterstützungsagentur – Landesinstitut für Schule“ (QUA-</w:t>
      </w:r>
      <w:proofErr w:type="spellStart"/>
      <w:r w:rsidRPr="00C25A83">
        <w:rPr>
          <w:rFonts w:ascii="Arial" w:hAnsi="Arial"/>
          <w:sz w:val="22"/>
          <w:szCs w:val="22"/>
        </w:rPr>
        <w:t>LiS</w:t>
      </w:r>
      <w:proofErr w:type="spellEnd"/>
      <w:r w:rsidRPr="00C25A83">
        <w:rPr>
          <w:rFonts w:ascii="Arial" w:hAnsi="Arial"/>
          <w:sz w:val="22"/>
          <w:szCs w:val="22"/>
        </w:rPr>
        <w:t xml:space="preserve"> NRW) zum Projekt „</w:t>
      </w:r>
      <w:proofErr w:type="spellStart"/>
      <w:r w:rsidRPr="00C25A83">
        <w:rPr>
          <w:rFonts w:ascii="Arial" w:hAnsi="Arial"/>
          <w:sz w:val="22"/>
          <w:szCs w:val="22"/>
        </w:rPr>
        <w:t>SINUS.Nordrhein</w:t>
      </w:r>
      <w:proofErr w:type="spellEnd"/>
      <w:r w:rsidRPr="00C25A83">
        <w:rPr>
          <w:rFonts w:ascii="Arial" w:hAnsi="Arial"/>
          <w:sz w:val="22"/>
          <w:szCs w:val="22"/>
        </w:rPr>
        <w:t>-Westfalen“ (http://www.schulentwicklung.nrw.de/sinus/) findet man die Publikation „Impulse für einen kompetenzorientierten Mathematikunterricht“. In Kapitel 5 dieser Publikation findet man weitere Anregungen zum Üben im Mathematikunterricht.</w:t>
      </w:r>
    </w:p>
    <w:p w:rsidR="00694A63" w:rsidRPr="005B2F65" w:rsidRDefault="00694A63" w:rsidP="00C25A83">
      <w:pPr>
        <w:jc w:val="both"/>
        <w:rPr>
          <w:sz w:val="22"/>
          <w:szCs w:val="22"/>
        </w:rPr>
      </w:pPr>
      <w:bookmarkStart w:id="0" w:name="_GoBack"/>
      <w:bookmarkEnd w:id="0"/>
    </w:p>
    <w:sectPr w:rsidR="00694A63" w:rsidRPr="005B2F65" w:rsidSect="00DB65DC">
      <w:headerReference w:type="even" r:id="rId14"/>
      <w:headerReference w:type="default" r:id="rId15"/>
      <w:footerReference w:type="even" r:id="rId16"/>
      <w:footerReference w:type="default" r:id="rId17"/>
      <w:headerReference w:type="first" r:id="rId18"/>
      <w:footerReference w:type="first" r:id="rId19"/>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97A4BCF3-D742-4E21-B1DE-65D86F72BAD4}"/>
    <w:embedBold r:id="rId2" w:fontKey="{19484491-9E56-4D18-BCFE-31E86DD65412}"/>
    <w:embedItalic r:id="rId3" w:fontKey="{A502D423-198F-4BD5-A69F-1CEC9FF550DE}"/>
    <w:embedBoldItalic r:id="rId4" w:fontKey="{7F5F0AC0-B34C-4BCC-9D56-2B2755B5AA9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078B"/>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25A83"/>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w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009498-C820-40B0-A21E-814506BC7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567</Words>
  <Characters>3991</Characters>
  <Application>Microsoft Office Word</Application>
  <DocSecurity>0</DocSecurity>
  <Lines>76</Lines>
  <Paragraphs>32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2025-07-24T07:14:00Z</dcterms:created>
  <dcterms:modified xsi:type="dcterms:W3CDTF">2025-07-24T07:14:00Z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